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09" w:rsidRPr="005A5609" w:rsidRDefault="005A5609" w:rsidP="003109EE">
      <w:pPr>
        <w:spacing w:before="100" w:beforeAutospacing="1" w:after="100" w:afterAutospacing="1" w:line="240" w:lineRule="auto"/>
        <w:rPr>
          <w:rFonts w:ascii="Times New Roman" w:hAnsi="Times New Roman" w:cs="Times New Roman"/>
          <w:b/>
          <w:sz w:val="28"/>
          <w:szCs w:val="28"/>
        </w:rPr>
      </w:pPr>
      <w:bookmarkStart w:id="0" w:name="_GoBack"/>
      <w:bookmarkEnd w:id="0"/>
      <w:r w:rsidRPr="005A5609">
        <w:rPr>
          <w:rFonts w:ascii="Times New Roman" w:hAnsi="Times New Roman" w:cs="Times New Roman"/>
          <w:b/>
          <w:sz w:val="28"/>
          <w:szCs w:val="28"/>
        </w:rPr>
        <w:t xml:space="preserve">Allowable Costs </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I.  INTRODUCTION</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xml:space="preserve">This </w:t>
      </w:r>
      <w:r>
        <w:rPr>
          <w:rFonts w:ascii="Times New Roman" w:eastAsia="Times New Roman" w:hAnsi="Times New Roman" w:cs="Times New Roman"/>
          <w:sz w:val="24"/>
          <w:szCs w:val="24"/>
          <w:lang w:val="en"/>
        </w:rPr>
        <w:t>guideline</w:t>
      </w:r>
      <w:r w:rsidRPr="003109EE">
        <w:rPr>
          <w:rFonts w:ascii="Times New Roman" w:eastAsia="Times New Roman" w:hAnsi="Times New Roman" w:cs="Times New Roman"/>
          <w:sz w:val="24"/>
          <w:szCs w:val="24"/>
          <w:lang w:val="en"/>
        </w:rPr>
        <w:t xml:space="preserve"> statement has been </w:t>
      </w:r>
      <w:r>
        <w:rPr>
          <w:rFonts w:ascii="Times New Roman" w:eastAsia="Times New Roman" w:hAnsi="Times New Roman" w:cs="Times New Roman"/>
          <w:sz w:val="24"/>
          <w:szCs w:val="24"/>
          <w:lang w:val="en"/>
        </w:rPr>
        <w:t>created</w:t>
      </w:r>
      <w:r w:rsidRPr="003109EE">
        <w:rPr>
          <w:rFonts w:ascii="Times New Roman" w:eastAsia="Times New Roman" w:hAnsi="Times New Roman" w:cs="Times New Roman"/>
          <w:sz w:val="24"/>
          <w:szCs w:val="24"/>
          <w:lang w:val="en"/>
        </w:rPr>
        <w:t xml:space="preserve"> to reflect the U.S. Office of Management and Budget’s Uniform Administrative Requirements, Cost Principles, and Audit R</w:t>
      </w:r>
      <w:r w:rsidR="00251399">
        <w:rPr>
          <w:rFonts w:ascii="Times New Roman" w:eastAsia="Times New Roman" w:hAnsi="Times New Roman" w:cs="Times New Roman"/>
          <w:sz w:val="24"/>
          <w:szCs w:val="24"/>
          <w:lang w:val="en"/>
        </w:rPr>
        <w:t>equirements for Federal Awards</w:t>
      </w:r>
      <w:r w:rsidRPr="003109EE">
        <w:rPr>
          <w:rFonts w:ascii="Times New Roman" w:eastAsia="Times New Roman" w:hAnsi="Times New Roman" w:cs="Times New Roman"/>
          <w:sz w:val="24"/>
          <w:szCs w:val="24"/>
          <w:lang w:val="en"/>
        </w:rPr>
        <w:t>. According to the Uniform Guidance, Federal cost principles must be applied uniformly to all Federal awards and must be consistent with policies and procedures that apply to both Federal awards and other activities of the university, including non-Federally supported programs (</w:t>
      </w:r>
      <w:hyperlink r:id="rId5" w:history="1">
        <w:r w:rsidRPr="003109EE">
          <w:rPr>
            <w:rFonts w:ascii="Times New Roman" w:eastAsia="Times New Roman" w:hAnsi="Times New Roman" w:cs="Times New Roman"/>
            <w:color w:val="002060"/>
            <w:sz w:val="24"/>
            <w:szCs w:val="24"/>
            <w:u w:val="single"/>
            <w:lang w:val="en"/>
          </w:rPr>
          <w:t>200.403(c)</w:t>
        </w:r>
      </w:hyperlink>
      <w:r w:rsidRPr="003109EE">
        <w:rPr>
          <w:rFonts w:ascii="Times New Roman" w:eastAsia="Times New Roman" w:hAnsi="Times New Roman" w:cs="Times New Roman"/>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xml:space="preserve">In accepting a sponsored project, principal investigators, project directors, departmental administrators, and the University of Colorado </w:t>
      </w:r>
      <w:r>
        <w:rPr>
          <w:rFonts w:ascii="Times New Roman" w:eastAsia="Times New Roman" w:hAnsi="Times New Roman" w:cs="Times New Roman"/>
          <w:sz w:val="24"/>
          <w:szCs w:val="24"/>
          <w:lang w:val="en"/>
        </w:rPr>
        <w:t>Colorado Springs</w:t>
      </w:r>
      <w:r w:rsidRPr="003109EE">
        <w:rPr>
          <w:rFonts w:ascii="Times New Roman" w:eastAsia="Times New Roman" w:hAnsi="Times New Roman" w:cs="Times New Roman"/>
          <w:sz w:val="24"/>
          <w:szCs w:val="24"/>
          <w:lang w:val="en"/>
        </w:rPr>
        <w:t xml:space="preserve"> </w:t>
      </w:r>
      <w:r w:rsidR="005F1698">
        <w:rPr>
          <w:rFonts w:ascii="Times New Roman" w:eastAsia="Times New Roman" w:hAnsi="Times New Roman" w:cs="Times New Roman"/>
          <w:sz w:val="24"/>
          <w:szCs w:val="24"/>
          <w:lang w:val="en"/>
        </w:rPr>
        <w:t xml:space="preserve">(UCCS) </w:t>
      </w:r>
      <w:r w:rsidRPr="003109EE">
        <w:rPr>
          <w:rFonts w:ascii="Times New Roman" w:eastAsia="Times New Roman" w:hAnsi="Times New Roman" w:cs="Times New Roman"/>
          <w:sz w:val="24"/>
          <w:szCs w:val="24"/>
          <w:lang w:val="en"/>
        </w:rPr>
        <w:t>agree to follow the cost principles defined by the sponsoring agency. Allowability of costs can vary by sponsor, therefore it is imperative that the sponsor requirements contained in each and every award agreement be understood and followed.</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II.  </w:t>
      </w:r>
      <w:r>
        <w:rPr>
          <w:rFonts w:ascii="Times New Roman" w:eastAsia="Times New Roman" w:hAnsi="Times New Roman" w:cs="Times New Roman"/>
          <w:b/>
          <w:bCs/>
          <w:sz w:val="24"/>
          <w:szCs w:val="24"/>
          <w:lang w:val="en"/>
        </w:rPr>
        <w:t>GUIDELINE STATEMENT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Sponsored projects may be charged directly for costs that are allowable, reasonable, and allocable.  Furthermore, all costs charged directly to a sponsored project are subject to audit by the respective funding agency or other audit agencies. This is true for both federally funded and non-Federally funded projects, in both like and unlike circumstances.</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lastRenderedPageBreak/>
        <w:t>As stated in the Uniform Guidance (</w:t>
      </w:r>
      <w:hyperlink r:id="rId6" w:history="1">
        <w:r w:rsidRPr="003109EE">
          <w:rPr>
            <w:rFonts w:ascii="Times New Roman" w:eastAsia="Times New Roman" w:hAnsi="Times New Roman" w:cs="Times New Roman"/>
            <w:color w:val="002060"/>
            <w:sz w:val="24"/>
            <w:szCs w:val="24"/>
            <w:u w:val="single"/>
            <w:lang w:val="en"/>
          </w:rPr>
          <w:t>200.412</w:t>
        </w:r>
      </w:hyperlink>
      <w:r w:rsidRPr="003109EE">
        <w:rPr>
          <w:rFonts w:ascii="Times New Roman" w:eastAsia="Times New Roman" w:hAnsi="Times New Roman" w:cs="Times New Roman"/>
          <w:sz w:val="24"/>
          <w:szCs w:val="24"/>
          <w:lang w:val="en"/>
        </w:rPr>
        <w:t>) “There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an indirect (F&amp;A) cost in order to avoid possible double-charging of Federal awards.”</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The primary responsibility for the sound fiscal management, as well as the programmatic direction, of a sponsored project belongs to the individual faculty member who is the grant or contract principal investigator. It is the responsibility of the principal investigator to ensure that only allowable, reasonable, and allocable direct costs are charged to a sponsored project.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xml:space="preserve">Uniform Guidance, </w:t>
      </w:r>
      <w:hyperlink r:id="rId7" w:history="1">
        <w:r w:rsidRPr="003109EE">
          <w:rPr>
            <w:rFonts w:ascii="Times New Roman" w:eastAsia="Times New Roman" w:hAnsi="Times New Roman" w:cs="Times New Roman"/>
            <w:color w:val="002060"/>
            <w:sz w:val="24"/>
            <w:szCs w:val="24"/>
            <w:u w:val="single"/>
            <w:lang w:val="en"/>
          </w:rPr>
          <w:t>200.403(g)</w:t>
        </w:r>
      </w:hyperlink>
      <w:r w:rsidRPr="003109EE">
        <w:rPr>
          <w:rFonts w:ascii="Times New Roman" w:eastAsia="Times New Roman" w:hAnsi="Times New Roman" w:cs="Times New Roman"/>
          <w:sz w:val="24"/>
          <w:szCs w:val="24"/>
          <w:lang w:val="en"/>
        </w:rPr>
        <w:t xml:space="preserve"> states that for an expense to be allowable on a Federal award, it must be adequately documented. Documentation for all project-related expenses, including cost sharing, must be maintained by the principal investigator’s department in accordance with </w:t>
      </w:r>
      <w:r>
        <w:rPr>
          <w:rFonts w:ascii="Times New Roman" w:eastAsia="Times New Roman" w:hAnsi="Times New Roman" w:cs="Times New Roman"/>
          <w:sz w:val="24"/>
          <w:szCs w:val="24"/>
          <w:lang w:val="en"/>
        </w:rPr>
        <w:t>UCCS Record Retention</w:t>
      </w:r>
      <w:r w:rsidRPr="003109EE">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guide</w:t>
      </w:r>
      <w:r w:rsidRPr="003109EE">
        <w:rPr>
          <w:rFonts w:ascii="Times New Roman" w:eastAsia="Times New Roman" w:hAnsi="Times New Roman" w:cs="Times New Roman"/>
          <w:sz w:val="24"/>
          <w:szCs w:val="24"/>
          <w:lang w:val="en"/>
        </w:rPr>
        <w:t xml:space="preserve">. This would include, but not be limited to, receipts or copies of receipts, for all purchases, regardless of dollar amount. (Travel-related costs are governed by Internal Revenue Service Publication 463, requiring receipts only for expenditures ≥$75.)  </w:t>
      </w:r>
      <w:r w:rsidRPr="005F1698">
        <w:rPr>
          <w:rFonts w:ascii="Times New Roman" w:eastAsia="Times New Roman" w:hAnsi="Times New Roman" w:cs="Times New Roman"/>
          <w:b/>
          <w:sz w:val="24"/>
          <w:szCs w:val="24"/>
          <w:lang w:val="en"/>
        </w:rPr>
        <w:t>Here at UCCS, we keep all receipts regardless of dollar amount.</w:t>
      </w:r>
      <w:r>
        <w:rPr>
          <w:rFonts w:ascii="Times New Roman" w:eastAsia="Times New Roman" w:hAnsi="Times New Roman" w:cs="Times New Roman"/>
          <w:sz w:val="24"/>
          <w:szCs w:val="24"/>
          <w:lang w:val="en"/>
        </w:rPr>
        <w:t xml:space="preserve"> </w:t>
      </w:r>
      <w:r w:rsidRPr="003109EE">
        <w:rPr>
          <w:rFonts w:ascii="Times New Roman" w:eastAsia="Times New Roman" w:hAnsi="Times New Roman" w:cs="Times New Roman"/>
          <w:sz w:val="24"/>
          <w:szCs w:val="24"/>
          <w:lang w:val="en"/>
        </w:rPr>
        <w:t>If the final determination is that any cost is unsubstantiated or disallowed, then reimbursement and any associated financial penalties will be borne by the department.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lastRenderedPageBreak/>
        <w:t>III.  UNIFORM GUIDANCE DEFINITIONS RELATED TO COST PRINCIPLES</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A.    Allocable Costs (</w:t>
      </w:r>
      <w:hyperlink r:id="rId8" w:history="1">
        <w:r w:rsidRPr="003109EE">
          <w:rPr>
            <w:rFonts w:ascii="Times New Roman" w:eastAsia="Times New Roman" w:hAnsi="Times New Roman" w:cs="Times New Roman"/>
            <w:b/>
            <w:bCs/>
            <w:color w:val="002060"/>
            <w:sz w:val="24"/>
            <w:szCs w:val="24"/>
            <w:u w:val="single"/>
            <w:lang w:val="en"/>
          </w:rPr>
          <w:t>200.405</w:t>
        </w:r>
      </w:hyperlink>
      <w:r w:rsidRPr="003109EE">
        <w:rPr>
          <w:rFonts w:ascii="Times New Roman" w:eastAsia="Times New Roman" w:hAnsi="Times New Roman" w:cs="Times New Roman"/>
          <w:b/>
          <w:bCs/>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A cost is allocable if the goods or services are charged to an award in proportion to the relative benefits received. The Uniform Guidance states the allocation standard is met if the cost:</w:t>
      </w:r>
    </w:p>
    <w:p w:rsidR="003109EE" w:rsidRPr="003109EE" w:rsidRDefault="003109EE" w:rsidP="003109E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Is incurred specifically for the award.</w:t>
      </w:r>
    </w:p>
    <w:p w:rsidR="003109EE" w:rsidRPr="003109EE" w:rsidRDefault="003109EE" w:rsidP="003109E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Is charged using direct cost allocation principles.</w:t>
      </w:r>
    </w:p>
    <w:p w:rsidR="003109EE" w:rsidRPr="003109EE" w:rsidRDefault="003109EE" w:rsidP="003109EE">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When a cost benefits multiple projects or a combination of projects and programs, and the cost can be distributed in proportions that can be determined without undue effort or cost, the cost must be allocated to the projects or programs based on the proportionate benefit.   </w:t>
      </w:r>
    </w:p>
    <w:p w:rsidR="003109EE" w:rsidRPr="003109EE" w:rsidRDefault="003109EE" w:rsidP="003109EE">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If the proportions cannot be easily determined, the cost may be allocable to the projects or programs receiving the benefit on any reasonable documented basis.</w:t>
      </w:r>
    </w:p>
    <w:p w:rsidR="003109EE" w:rsidRPr="003109EE" w:rsidRDefault="003109EE" w:rsidP="003109EE">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Allocation across awards cannot be based simply on funding availability.</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B.    Allowable Costs (</w:t>
      </w:r>
      <w:hyperlink r:id="rId9" w:history="1">
        <w:r w:rsidRPr="003109EE">
          <w:rPr>
            <w:rFonts w:ascii="Times New Roman" w:eastAsia="Times New Roman" w:hAnsi="Times New Roman" w:cs="Times New Roman"/>
            <w:b/>
            <w:bCs/>
            <w:color w:val="002060"/>
            <w:sz w:val="24"/>
            <w:szCs w:val="24"/>
            <w:u w:val="single"/>
            <w:lang w:val="en"/>
          </w:rPr>
          <w:t>200.403</w:t>
        </w:r>
      </w:hyperlink>
      <w:r w:rsidRPr="003109EE">
        <w:rPr>
          <w:rFonts w:ascii="Times New Roman" w:eastAsia="Times New Roman" w:hAnsi="Times New Roman" w:cs="Times New Roman"/>
          <w:b/>
          <w:bCs/>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The Uniform Guidance outlines the following general criteria that must be met for costs to be allowable:</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Be necessary and reasonable for the performance of the award and be allocable to the award.</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lastRenderedPageBreak/>
        <w:t> Conform to any limitations or exclusions set forth in the Uniform Guidance or the sponsor agreement.</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Be consistent with policies and procedures that apply uniformly to both federally-financed and other activities of the institution.</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Be accorded consistent treatment. A cost may not be assigned to a Federal award as a direct cost if any other cost incurred for the same purpose in like circumstances has been allocated to a Federal award as an indirect (F&amp;A) cost.</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Be determined in accordance with Generally Accepted Accounting Principles (GAAP).</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Not be used to meet cost sharing requirements.</w:t>
      </w:r>
    </w:p>
    <w:p w:rsidR="003109EE" w:rsidRPr="003109EE" w:rsidRDefault="003109EE" w:rsidP="003109E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Be adequately documented.</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UCCS</w:t>
      </w:r>
      <w:r w:rsidRPr="003109EE">
        <w:rPr>
          <w:rFonts w:ascii="Times New Roman" w:eastAsia="Times New Roman" w:hAnsi="Times New Roman" w:cs="Times New Roman"/>
          <w:sz w:val="24"/>
          <w:szCs w:val="24"/>
          <w:lang w:val="en"/>
        </w:rPr>
        <w:t xml:space="preserve"> position is to follow the most restrictive policy or guidance if a conflict exists.</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C.    Applicable Credits (</w:t>
      </w:r>
      <w:hyperlink r:id="rId10" w:anchor="se2.1.200_1406" w:history="1">
        <w:r w:rsidRPr="003109EE">
          <w:rPr>
            <w:rFonts w:ascii="Times New Roman" w:eastAsia="Times New Roman" w:hAnsi="Times New Roman" w:cs="Times New Roman"/>
            <w:b/>
            <w:bCs/>
            <w:color w:val="002060"/>
            <w:sz w:val="24"/>
            <w:szCs w:val="24"/>
            <w:u w:val="single"/>
            <w:lang w:val="en"/>
          </w:rPr>
          <w:t>200.406</w:t>
        </w:r>
      </w:hyperlink>
      <w:r w:rsidRPr="003109EE">
        <w:rPr>
          <w:rFonts w:ascii="Times New Roman" w:eastAsia="Times New Roman" w:hAnsi="Times New Roman" w:cs="Times New Roman"/>
          <w:b/>
          <w:bCs/>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Applicable credits refer to those receipts or reduction-of-expenditure type transactions that offset or reduce expense items allocable to the Federal award as direct or indirect (F&amp;A) costs. Examples of such transactions are: purchase discounts, rebates or allowances, recoveries or indemnities on losses, insurance refunds or rebates, and adjustments of overpayments or erroneous charges. To the extent that such credits accrued to or received by the non-Federal entity relate to allowable costs, they must be credited to the Federal award either as a cost reduction or cash refund, as appropriate.</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D.    Direct Costs (</w:t>
      </w:r>
      <w:hyperlink r:id="rId11" w:history="1">
        <w:r w:rsidRPr="003109EE">
          <w:rPr>
            <w:rFonts w:ascii="Times New Roman" w:eastAsia="Times New Roman" w:hAnsi="Times New Roman" w:cs="Times New Roman"/>
            <w:b/>
            <w:bCs/>
            <w:color w:val="002060"/>
            <w:sz w:val="24"/>
            <w:szCs w:val="24"/>
            <w:u w:val="single"/>
            <w:lang w:val="en"/>
          </w:rPr>
          <w:t>200.413</w:t>
        </w:r>
      </w:hyperlink>
      <w:r w:rsidRPr="003109EE">
        <w:rPr>
          <w:rFonts w:ascii="Times New Roman" w:eastAsia="Times New Roman" w:hAnsi="Times New Roman" w:cs="Times New Roman"/>
          <w:b/>
          <w:bCs/>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lastRenderedPageBreak/>
        <w:t>Direct costs are those costs that can be identified specifically with a particular final cost objective - such as a Federal award, or some other internally or externally funded activity - or that can be directly assigned to such activities relatively easily with a high degree of accuracy. Costs incurred for the same purpose in like circumstances must be treated consistently as either direct or indirect (F&amp;A) costs.</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b/>
          <w:bCs/>
          <w:sz w:val="24"/>
          <w:szCs w:val="24"/>
          <w:lang w:val="en"/>
        </w:rPr>
        <w:t>E.     Indirect Costs (</w:t>
      </w:r>
      <w:hyperlink r:id="rId12" w:anchor="se2.1.200_156" w:history="1">
        <w:r w:rsidRPr="003109EE">
          <w:rPr>
            <w:rFonts w:ascii="Times New Roman" w:eastAsia="Times New Roman" w:hAnsi="Times New Roman" w:cs="Times New Roman"/>
            <w:b/>
            <w:bCs/>
            <w:color w:val="002060"/>
            <w:sz w:val="24"/>
            <w:szCs w:val="24"/>
            <w:u w:val="single"/>
            <w:lang w:val="en"/>
          </w:rPr>
          <w:t>200.56</w:t>
        </w:r>
      </w:hyperlink>
      <w:r w:rsidRPr="003109EE">
        <w:rPr>
          <w:rFonts w:ascii="Times New Roman" w:eastAsia="Times New Roman" w:hAnsi="Times New Roman" w:cs="Times New Roman"/>
          <w:b/>
          <w:bCs/>
          <w:sz w:val="24"/>
          <w:szCs w:val="24"/>
          <w:lang w:val="en"/>
        </w:rPr>
        <w:t>)</w:t>
      </w:r>
    </w:p>
    <w:p w:rsidR="003109EE" w:rsidRPr="003109EE" w:rsidRDefault="003109EE" w:rsidP="00FE2278">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Costs incurred for a common or joint purpose benefiting more than one cost objective, not readily assignable to the cost objectives specifically benefited without effort disproportionate to the results achieved.</w:t>
      </w:r>
    </w:p>
    <w:p w:rsidR="003109EE" w:rsidRPr="003109EE" w:rsidRDefault="00FE2278" w:rsidP="003109E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F</w:t>
      </w:r>
      <w:r w:rsidR="003109EE" w:rsidRPr="003109EE">
        <w:rPr>
          <w:rFonts w:ascii="Times New Roman" w:eastAsia="Times New Roman" w:hAnsi="Times New Roman" w:cs="Times New Roman"/>
          <w:b/>
          <w:bCs/>
          <w:sz w:val="24"/>
          <w:szCs w:val="24"/>
          <w:lang w:val="en"/>
        </w:rPr>
        <w:t>.    Reasonable Costs (</w:t>
      </w:r>
      <w:hyperlink r:id="rId13" w:history="1">
        <w:r w:rsidR="003109EE" w:rsidRPr="003109EE">
          <w:rPr>
            <w:rFonts w:ascii="Times New Roman" w:eastAsia="Times New Roman" w:hAnsi="Times New Roman" w:cs="Times New Roman"/>
            <w:b/>
            <w:bCs/>
            <w:color w:val="002060"/>
            <w:sz w:val="24"/>
            <w:szCs w:val="24"/>
            <w:u w:val="single"/>
            <w:lang w:val="en"/>
          </w:rPr>
          <w:t>200.404</w:t>
        </w:r>
      </w:hyperlink>
      <w:r w:rsidR="003109EE" w:rsidRPr="003109EE">
        <w:rPr>
          <w:rFonts w:ascii="Times New Roman" w:eastAsia="Times New Roman" w:hAnsi="Times New Roman" w:cs="Times New Roman"/>
          <w:b/>
          <w:bCs/>
          <w:color w:val="002060"/>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A cost is reasonable if, in nature and amount, it does not exceed that which would be incurred by a prudent person under the circumstances prevailing at the time the decision was made to incur the cost. The Uniform Guidance lists the following items to be taken into consideration in determining the reasonableness of a cost:</w:t>
      </w:r>
    </w:p>
    <w:p w:rsidR="003109EE" w:rsidRPr="003109EE" w:rsidRDefault="003109EE" w:rsidP="003109E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Whether the cost generally recognized as ordinary and necessary for the operation of the organization or the proper and efficient performance of the award</w:t>
      </w:r>
    </w:p>
    <w:p w:rsidR="003109EE" w:rsidRPr="003109EE" w:rsidRDefault="003109EE" w:rsidP="003109E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The requirements of sound business practices, arm’s length bargaining; applicable laws and regulations, and terms and conditions</w:t>
      </w:r>
    </w:p>
    <w:p w:rsidR="003109EE" w:rsidRPr="003109EE" w:rsidRDefault="003109EE" w:rsidP="003109E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 Market prices for comparable goods or services for the geographic area</w:t>
      </w:r>
    </w:p>
    <w:p w:rsidR="005F1698" w:rsidRPr="00FE2278" w:rsidRDefault="003109EE" w:rsidP="003109EE">
      <w:pPr>
        <w:numPr>
          <w:ilvl w:val="0"/>
          <w:numId w:val="3"/>
        </w:numPr>
        <w:spacing w:before="100" w:beforeAutospacing="1" w:after="100" w:afterAutospacing="1" w:line="240" w:lineRule="auto"/>
        <w:rPr>
          <w:rFonts w:ascii="Times New Roman" w:eastAsia="Times New Roman" w:hAnsi="Times New Roman" w:cs="Times New Roman"/>
          <w:b/>
          <w:bCs/>
          <w:sz w:val="24"/>
          <w:szCs w:val="24"/>
          <w:lang w:val="en"/>
        </w:rPr>
      </w:pPr>
      <w:r w:rsidRPr="003109EE">
        <w:rPr>
          <w:rFonts w:ascii="Times New Roman" w:eastAsia="Times New Roman" w:hAnsi="Times New Roman" w:cs="Times New Roman"/>
          <w:sz w:val="24"/>
          <w:szCs w:val="24"/>
          <w:lang w:val="en"/>
        </w:rPr>
        <w:t> Whether the individual acted with prudence</w:t>
      </w:r>
    </w:p>
    <w:p w:rsidR="003109EE" w:rsidRPr="003109EE" w:rsidRDefault="00FE2278" w:rsidP="003109E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lastRenderedPageBreak/>
        <w:t>G</w:t>
      </w:r>
      <w:r w:rsidR="003109EE" w:rsidRPr="003109EE">
        <w:rPr>
          <w:rFonts w:ascii="Times New Roman" w:eastAsia="Times New Roman" w:hAnsi="Times New Roman" w:cs="Times New Roman"/>
          <w:b/>
          <w:bCs/>
          <w:sz w:val="24"/>
          <w:szCs w:val="24"/>
          <w:lang w:val="en"/>
        </w:rPr>
        <w:t>.    Total Cost (</w:t>
      </w:r>
      <w:hyperlink r:id="rId14" w:anchor="se2.1.200_1402" w:history="1">
        <w:r w:rsidR="003109EE" w:rsidRPr="003109EE">
          <w:rPr>
            <w:rFonts w:ascii="Times New Roman" w:eastAsia="Times New Roman" w:hAnsi="Times New Roman" w:cs="Times New Roman"/>
            <w:b/>
            <w:bCs/>
            <w:color w:val="002060"/>
            <w:sz w:val="24"/>
            <w:szCs w:val="24"/>
            <w:u w:val="single"/>
            <w:lang w:val="en"/>
          </w:rPr>
          <w:t>200.402</w:t>
        </w:r>
      </w:hyperlink>
      <w:r w:rsidR="003109EE" w:rsidRPr="003109EE">
        <w:rPr>
          <w:rFonts w:ascii="Times New Roman" w:eastAsia="Times New Roman" w:hAnsi="Times New Roman" w:cs="Times New Roman"/>
          <w:b/>
          <w:bCs/>
          <w:sz w:val="24"/>
          <w:szCs w:val="24"/>
          <w:lang w:val="en"/>
        </w:rPr>
        <w:t>)</w:t>
      </w:r>
    </w:p>
    <w:p w:rsidR="003109EE" w:rsidRPr="003109EE" w:rsidRDefault="003109EE" w:rsidP="003109EE">
      <w:pPr>
        <w:spacing w:before="100" w:beforeAutospacing="1" w:after="100" w:afterAutospacing="1" w:line="240" w:lineRule="auto"/>
        <w:rPr>
          <w:rFonts w:ascii="Times New Roman" w:eastAsia="Times New Roman" w:hAnsi="Times New Roman" w:cs="Times New Roman"/>
          <w:sz w:val="24"/>
          <w:szCs w:val="24"/>
          <w:lang w:val="en"/>
        </w:rPr>
      </w:pPr>
      <w:r w:rsidRPr="003109EE">
        <w:rPr>
          <w:rFonts w:ascii="Times New Roman" w:eastAsia="Times New Roman" w:hAnsi="Times New Roman" w:cs="Times New Roman"/>
          <w:sz w:val="24"/>
          <w:szCs w:val="24"/>
          <w:lang w:val="en"/>
        </w:rPr>
        <w:t>The total cost of a Federal award is the sum of the allowable direct and allocable indirect (F&amp;A) costs, less any applicable credits.</w:t>
      </w:r>
    </w:p>
    <w:p w:rsidR="005F1698" w:rsidRPr="005F1698" w:rsidRDefault="005F1698" w:rsidP="005F1698">
      <w:p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b/>
          <w:bCs/>
          <w:sz w:val="24"/>
          <w:szCs w:val="24"/>
          <w:lang w:val="en"/>
        </w:rPr>
        <w:t>Guidelines</w:t>
      </w:r>
    </w:p>
    <w:p w:rsidR="005F1698" w:rsidRDefault="005F1698" w:rsidP="005F169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b/>
          <w:bCs/>
          <w:sz w:val="24"/>
          <w:szCs w:val="24"/>
          <w:lang w:val="en"/>
        </w:rPr>
        <w:t>Direct Cost Application to Federal awards</w:t>
      </w:r>
      <w:r w:rsidRPr="005F1698">
        <w:rPr>
          <w:rFonts w:ascii="Times New Roman" w:eastAsia="Times New Roman" w:hAnsi="Times New Roman" w:cs="Times New Roman"/>
          <w:sz w:val="24"/>
          <w:szCs w:val="24"/>
          <w:lang w:val="en"/>
        </w:rPr>
        <w:t>. Identification with the Federal award, rather than the nature of the goods and services involved, is the determining factor in distinguishing direct from indirect (F&amp;A) costs of Federal awards (</w:t>
      </w:r>
      <w:hyperlink r:id="rId15" w:history="1">
        <w:r w:rsidRPr="005F1698">
          <w:rPr>
            <w:rFonts w:ascii="Times New Roman" w:eastAsia="Times New Roman" w:hAnsi="Times New Roman" w:cs="Times New Roman"/>
            <w:color w:val="002060"/>
            <w:sz w:val="24"/>
            <w:szCs w:val="24"/>
            <w:u w:val="single"/>
            <w:lang w:val="en"/>
          </w:rPr>
          <w:t>200.413(b)</w:t>
        </w:r>
      </w:hyperlink>
      <w:r w:rsidRPr="005F1698">
        <w:rPr>
          <w:rFonts w:ascii="Times New Roman" w:eastAsia="Times New Roman" w:hAnsi="Times New Roman" w:cs="Times New Roman"/>
          <w:sz w:val="24"/>
          <w:szCs w:val="24"/>
          <w:lang w:val="en"/>
        </w:rPr>
        <w:t xml:space="preserve">). Typical costs charged directly to a Federal award are the compensation of employees who work on that award, their related fringe benefit costs, and the costs of materials and other items of expense incurred for the Federal award. </w:t>
      </w:r>
    </w:p>
    <w:p w:rsidR="00FE2278" w:rsidRPr="005F1698" w:rsidRDefault="005F1698" w:rsidP="00FE227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b/>
          <w:bCs/>
          <w:sz w:val="24"/>
          <w:szCs w:val="24"/>
          <w:lang w:val="en"/>
        </w:rPr>
        <w:t>Unacceptable direct charging practices</w:t>
      </w:r>
    </w:p>
    <w:p w:rsidR="005F1698" w:rsidRPr="005F1698" w:rsidRDefault="005F1698" w:rsidP="005F1698">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sz w:val="24"/>
          <w:szCs w:val="24"/>
          <w:lang w:val="en"/>
        </w:rPr>
        <w:t>Purchasing items only to spend out remaining funds</w:t>
      </w:r>
    </w:p>
    <w:p w:rsidR="005F1698" w:rsidRPr="005F1698" w:rsidRDefault="005F1698" w:rsidP="005F1698">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sz w:val="24"/>
          <w:szCs w:val="24"/>
          <w:lang w:val="en"/>
        </w:rPr>
        <w:t>Rotating costs among projects based on budget availability and not based on allocation of use</w:t>
      </w:r>
    </w:p>
    <w:p w:rsidR="005F1698" w:rsidRPr="005F1698" w:rsidRDefault="005F1698" w:rsidP="005F1698">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sz w:val="24"/>
          <w:szCs w:val="24"/>
          <w:lang w:val="en"/>
        </w:rPr>
        <w:t>Charging the budget amount (in contrast to charging an amount based on actual costs/usage)</w:t>
      </w:r>
    </w:p>
    <w:p w:rsidR="005F1698" w:rsidRPr="005F1698" w:rsidRDefault="005F1698" w:rsidP="005F1698">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sz w:val="24"/>
          <w:szCs w:val="24"/>
          <w:lang w:val="en"/>
        </w:rPr>
        <w:t>Assigning charges to an award before the cost is incurred (except as an encumbrance)</w:t>
      </w:r>
    </w:p>
    <w:p w:rsidR="005F1698" w:rsidRDefault="005F1698" w:rsidP="005F1698">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F1698">
        <w:rPr>
          <w:rFonts w:ascii="Times New Roman" w:eastAsia="Times New Roman" w:hAnsi="Times New Roman" w:cs="Times New Roman"/>
          <w:sz w:val="24"/>
          <w:szCs w:val="24"/>
          <w:lang w:val="en"/>
        </w:rPr>
        <w:t>Charging an expense solely to an award when the expense has supported other activities/awards</w:t>
      </w:r>
    </w:p>
    <w:p w:rsidR="00B43A89" w:rsidRPr="005F1698" w:rsidRDefault="00B43A89" w:rsidP="005F1698">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B43A89">
        <w:rPr>
          <w:rFonts w:ascii="Times New Roman" w:hAnsi="Times New Roman" w:cs="Times New Roman"/>
          <w:sz w:val="24"/>
          <w:szCs w:val="24"/>
        </w:rPr>
        <w:t>Maintenance of membership rolls, subscriptions, publications, a</w:t>
      </w:r>
      <w:r>
        <w:rPr>
          <w:rFonts w:ascii="Times New Roman" w:hAnsi="Times New Roman" w:cs="Times New Roman"/>
          <w:sz w:val="24"/>
          <w:szCs w:val="24"/>
        </w:rPr>
        <w:t>nd related functions. See also (</w:t>
      </w:r>
      <w:r w:rsidRPr="00B43A89">
        <w:rPr>
          <w:rFonts w:ascii="Times New Roman" w:hAnsi="Times New Roman" w:cs="Times New Roman"/>
          <w:color w:val="002060"/>
          <w:sz w:val="24"/>
          <w:szCs w:val="24"/>
          <w:u w:val="single"/>
        </w:rPr>
        <w:t>200.454</w:t>
      </w:r>
      <w:r>
        <w:rPr>
          <w:rFonts w:ascii="Times New Roman" w:hAnsi="Times New Roman" w:cs="Times New Roman"/>
          <w:sz w:val="24"/>
          <w:szCs w:val="24"/>
        </w:rPr>
        <w:t>)</w:t>
      </w:r>
      <w:r w:rsidRPr="00B43A89">
        <w:rPr>
          <w:rFonts w:ascii="Times New Roman" w:hAnsi="Times New Roman" w:cs="Times New Roman"/>
          <w:sz w:val="24"/>
          <w:szCs w:val="24"/>
        </w:rPr>
        <w:t xml:space="preserve"> Memberships, subscriptions, and professional activity costs.</w:t>
      </w:r>
    </w:p>
    <w:p w:rsidR="00407721" w:rsidRDefault="00407721"/>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61672B" w:rsidRDefault="0061672B"/>
    <w:p w:rsidR="000C6156" w:rsidRDefault="000C6156"/>
    <w:p w:rsidR="000C6156" w:rsidRDefault="000C6156"/>
    <w:p w:rsidR="000C6156" w:rsidRDefault="000C6156"/>
    <w:p w:rsidR="000C6156" w:rsidRDefault="000C6156"/>
    <w:p w:rsidR="000C6156" w:rsidRDefault="000C6156"/>
    <w:p w:rsidR="0061672B" w:rsidRDefault="0061672B">
      <w:r>
        <w:t>05/08/2017</w:t>
      </w:r>
    </w:p>
    <w:sectPr w:rsidR="0061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4E7"/>
    <w:multiLevelType w:val="multilevel"/>
    <w:tmpl w:val="66AC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E4679"/>
    <w:multiLevelType w:val="multilevel"/>
    <w:tmpl w:val="90E42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769E5"/>
    <w:multiLevelType w:val="multilevel"/>
    <w:tmpl w:val="A1801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7FD2"/>
    <w:multiLevelType w:val="multilevel"/>
    <w:tmpl w:val="D5D4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xNDWzNDE0NjO3NLFQ0lEKTi0uzszPAykwrAUARfsHOiwAAAA="/>
  </w:docVars>
  <w:rsids>
    <w:rsidRoot w:val="003109EE"/>
    <w:rsid w:val="000C6156"/>
    <w:rsid w:val="00193705"/>
    <w:rsid w:val="00251399"/>
    <w:rsid w:val="003109EE"/>
    <w:rsid w:val="00407721"/>
    <w:rsid w:val="005A5609"/>
    <w:rsid w:val="005F1698"/>
    <w:rsid w:val="0061672B"/>
    <w:rsid w:val="006F1AF9"/>
    <w:rsid w:val="00B43A89"/>
    <w:rsid w:val="00DA0CB1"/>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7AFC2-058C-45B9-B0DD-4ADE3230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794">
      <w:bodyDiv w:val="1"/>
      <w:marLeft w:val="0"/>
      <w:marRight w:val="0"/>
      <w:marTop w:val="0"/>
      <w:marBottom w:val="0"/>
      <w:divBdr>
        <w:top w:val="none" w:sz="0" w:space="0" w:color="auto"/>
        <w:left w:val="none" w:sz="0" w:space="0" w:color="auto"/>
        <w:bottom w:val="none" w:sz="0" w:space="0" w:color="auto"/>
        <w:right w:val="none" w:sz="0" w:space="0" w:color="auto"/>
      </w:divBdr>
      <w:divsChild>
        <w:div w:id="570310580">
          <w:marLeft w:val="0"/>
          <w:marRight w:val="0"/>
          <w:marTop w:val="0"/>
          <w:marBottom w:val="0"/>
          <w:divBdr>
            <w:top w:val="none" w:sz="0" w:space="0" w:color="auto"/>
            <w:left w:val="none" w:sz="0" w:space="0" w:color="auto"/>
            <w:bottom w:val="none" w:sz="0" w:space="0" w:color="auto"/>
            <w:right w:val="none" w:sz="0" w:space="0" w:color="auto"/>
          </w:divBdr>
          <w:divsChild>
            <w:div w:id="312024294">
              <w:marLeft w:val="0"/>
              <w:marRight w:val="0"/>
              <w:marTop w:val="0"/>
              <w:marBottom w:val="0"/>
              <w:divBdr>
                <w:top w:val="none" w:sz="0" w:space="0" w:color="auto"/>
                <w:left w:val="none" w:sz="0" w:space="0" w:color="auto"/>
                <w:bottom w:val="none" w:sz="0" w:space="0" w:color="auto"/>
                <w:right w:val="none" w:sz="0" w:space="0" w:color="auto"/>
              </w:divBdr>
              <w:divsChild>
                <w:div w:id="622079834">
                  <w:marLeft w:val="0"/>
                  <w:marRight w:val="0"/>
                  <w:marTop w:val="0"/>
                  <w:marBottom w:val="0"/>
                  <w:divBdr>
                    <w:top w:val="none" w:sz="0" w:space="0" w:color="auto"/>
                    <w:left w:val="none" w:sz="0" w:space="0" w:color="auto"/>
                    <w:bottom w:val="none" w:sz="0" w:space="0" w:color="auto"/>
                    <w:right w:val="none" w:sz="0" w:space="0" w:color="auto"/>
                  </w:divBdr>
                  <w:divsChild>
                    <w:div w:id="310135664">
                      <w:marLeft w:val="0"/>
                      <w:marRight w:val="0"/>
                      <w:marTop w:val="0"/>
                      <w:marBottom w:val="0"/>
                      <w:divBdr>
                        <w:top w:val="none" w:sz="0" w:space="0" w:color="auto"/>
                        <w:left w:val="none" w:sz="0" w:space="0" w:color="auto"/>
                        <w:bottom w:val="none" w:sz="0" w:space="0" w:color="auto"/>
                        <w:right w:val="none" w:sz="0" w:space="0" w:color="auto"/>
                      </w:divBdr>
                      <w:divsChild>
                        <w:div w:id="1062485620">
                          <w:marLeft w:val="0"/>
                          <w:marRight w:val="0"/>
                          <w:marTop w:val="0"/>
                          <w:marBottom w:val="0"/>
                          <w:divBdr>
                            <w:top w:val="none" w:sz="0" w:space="0" w:color="auto"/>
                            <w:left w:val="none" w:sz="0" w:space="0" w:color="auto"/>
                            <w:bottom w:val="none" w:sz="0" w:space="0" w:color="auto"/>
                            <w:right w:val="none" w:sz="0" w:space="0" w:color="auto"/>
                          </w:divBdr>
                          <w:divsChild>
                            <w:div w:id="215898233">
                              <w:marLeft w:val="0"/>
                              <w:marRight w:val="0"/>
                              <w:marTop w:val="0"/>
                              <w:marBottom w:val="0"/>
                              <w:divBdr>
                                <w:top w:val="none" w:sz="0" w:space="0" w:color="auto"/>
                                <w:left w:val="none" w:sz="0" w:space="0" w:color="auto"/>
                                <w:bottom w:val="none" w:sz="0" w:space="0" w:color="auto"/>
                                <w:right w:val="none" w:sz="0" w:space="0" w:color="auto"/>
                              </w:divBdr>
                              <w:divsChild>
                                <w:div w:id="2046051967">
                                  <w:marLeft w:val="0"/>
                                  <w:marRight w:val="0"/>
                                  <w:marTop w:val="0"/>
                                  <w:marBottom w:val="0"/>
                                  <w:divBdr>
                                    <w:top w:val="none" w:sz="0" w:space="0" w:color="auto"/>
                                    <w:left w:val="none" w:sz="0" w:space="0" w:color="auto"/>
                                    <w:bottom w:val="none" w:sz="0" w:space="0" w:color="auto"/>
                                    <w:right w:val="none" w:sz="0" w:space="0" w:color="auto"/>
                                  </w:divBdr>
                                  <w:divsChild>
                                    <w:div w:id="2045792291">
                                      <w:marLeft w:val="0"/>
                                      <w:marRight w:val="0"/>
                                      <w:marTop w:val="0"/>
                                      <w:marBottom w:val="0"/>
                                      <w:divBdr>
                                        <w:top w:val="none" w:sz="0" w:space="0" w:color="auto"/>
                                        <w:left w:val="none" w:sz="0" w:space="0" w:color="auto"/>
                                        <w:bottom w:val="none" w:sz="0" w:space="0" w:color="auto"/>
                                        <w:right w:val="none" w:sz="0" w:space="0" w:color="auto"/>
                                      </w:divBdr>
                                      <w:divsChild>
                                        <w:div w:id="2008751696">
                                          <w:marLeft w:val="0"/>
                                          <w:marRight w:val="0"/>
                                          <w:marTop w:val="0"/>
                                          <w:marBottom w:val="0"/>
                                          <w:divBdr>
                                            <w:top w:val="none" w:sz="0" w:space="0" w:color="auto"/>
                                            <w:left w:val="none" w:sz="0" w:space="0" w:color="auto"/>
                                            <w:bottom w:val="none" w:sz="0" w:space="0" w:color="auto"/>
                                            <w:right w:val="none" w:sz="0" w:space="0" w:color="auto"/>
                                          </w:divBdr>
                                          <w:divsChild>
                                            <w:div w:id="958879266">
                                              <w:marLeft w:val="0"/>
                                              <w:marRight w:val="0"/>
                                              <w:marTop w:val="0"/>
                                              <w:marBottom w:val="0"/>
                                              <w:divBdr>
                                                <w:top w:val="none" w:sz="0" w:space="0" w:color="auto"/>
                                                <w:left w:val="none" w:sz="0" w:space="0" w:color="auto"/>
                                                <w:bottom w:val="none" w:sz="0" w:space="0" w:color="auto"/>
                                                <w:right w:val="none" w:sz="0" w:space="0" w:color="auto"/>
                                              </w:divBdr>
                                              <w:divsChild>
                                                <w:div w:id="1230578041">
                                                  <w:marLeft w:val="0"/>
                                                  <w:marRight w:val="0"/>
                                                  <w:marTop w:val="0"/>
                                                  <w:marBottom w:val="0"/>
                                                  <w:divBdr>
                                                    <w:top w:val="none" w:sz="0" w:space="0" w:color="auto"/>
                                                    <w:left w:val="none" w:sz="0" w:space="0" w:color="auto"/>
                                                    <w:bottom w:val="none" w:sz="0" w:space="0" w:color="auto"/>
                                                    <w:right w:val="none" w:sz="0" w:space="0" w:color="auto"/>
                                                  </w:divBdr>
                                                  <w:divsChild>
                                                    <w:div w:id="54816140">
                                                      <w:marLeft w:val="0"/>
                                                      <w:marRight w:val="0"/>
                                                      <w:marTop w:val="0"/>
                                                      <w:marBottom w:val="0"/>
                                                      <w:divBdr>
                                                        <w:top w:val="none" w:sz="0" w:space="0" w:color="auto"/>
                                                        <w:left w:val="none" w:sz="0" w:space="0" w:color="auto"/>
                                                        <w:bottom w:val="none" w:sz="0" w:space="0" w:color="auto"/>
                                                        <w:right w:val="none" w:sz="0" w:space="0" w:color="auto"/>
                                                      </w:divBdr>
                                                      <w:divsChild>
                                                        <w:div w:id="5824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788734">
      <w:bodyDiv w:val="1"/>
      <w:marLeft w:val="0"/>
      <w:marRight w:val="0"/>
      <w:marTop w:val="0"/>
      <w:marBottom w:val="0"/>
      <w:divBdr>
        <w:top w:val="none" w:sz="0" w:space="0" w:color="auto"/>
        <w:left w:val="none" w:sz="0" w:space="0" w:color="auto"/>
        <w:bottom w:val="none" w:sz="0" w:space="0" w:color="auto"/>
        <w:right w:val="none" w:sz="0" w:space="0" w:color="auto"/>
      </w:divBdr>
      <w:divsChild>
        <w:div w:id="908467086">
          <w:marLeft w:val="0"/>
          <w:marRight w:val="0"/>
          <w:marTop w:val="0"/>
          <w:marBottom w:val="0"/>
          <w:divBdr>
            <w:top w:val="none" w:sz="0" w:space="0" w:color="auto"/>
            <w:left w:val="none" w:sz="0" w:space="0" w:color="auto"/>
            <w:bottom w:val="none" w:sz="0" w:space="0" w:color="auto"/>
            <w:right w:val="none" w:sz="0" w:space="0" w:color="auto"/>
          </w:divBdr>
          <w:divsChild>
            <w:div w:id="2077897446">
              <w:marLeft w:val="0"/>
              <w:marRight w:val="0"/>
              <w:marTop w:val="0"/>
              <w:marBottom w:val="0"/>
              <w:divBdr>
                <w:top w:val="none" w:sz="0" w:space="0" w:color="auto"/>
                <w:left w:val="none" w:sz="0" w:space="0" w:color="auto"/>
                <w:bottom w:val="none" w:sz="0" w:space="0" w:color="auto"/>
                <w:right w:val="none" w:sz="0" w:space="0" w:color="auto"/>
              </w:divBdr>
              <w:divsChild>
                <w:div w:id="1421028889">
                  <w:marLeft w:val="0"/>
                  <w:marRight w:val="0"/>
                  <w:marTop w:val="0"/>
                  <w:marBottom w:val="0"/>
                  <w:divBdr>
                    <w:top w:val="none" w:sz="0" w:space="0" w:color="auto"/>
                    <w:left w:val="none" w:sz="0" w:space="0" w:color="auto"/>
                    <w:bottom w:val="none" w:sz="0" w:space="0" w:color="auto"/>
                    <w:right w:val="none" w:sz="0" w:space="0" w:color="auto"/>
                  </w:divBdr>
                  <w:divsChild>
                    <w:div w:id="633215837">
                      <w:marLeft w:val="0"/>
                      <w:marRight w:val="0"/>
                      <w:marTop w:val="0"/>
                      <w:marBottom w:val="0"/>
                      <w:divBdr>
                        <w:top w:val="none" w:sz="0" w:space="0" w:color="auto"/>
                        <w:left w:val="none" w:sz="0" w:space="0" w:color="auto"/>
                        <w:bottom w:val="none" w:sz="0" w:space="0" w:color="auto"/>
                        <w:right w:val="none" w:sz="0" w:space="0" w:color="auto"/>
                      </w:divBdr>
                      <w:divsChild>
                        <w:div w:id="257761917">
                          <w:marLeft w:val="0"/>
                          <w:marRight w:val="0"/>
                          <w:marTop w:val="0"/>
                          <w:marBottom w:val="0"/>
                          <w:divBdr>
                            <w:top w:val="none" w:sz="0" w:space="0" w:color="auto"/>
                            <w:left w:val="none" w:sz="0" w:space="0" w:color="auto"/>
                            <w:bottom w:val="none" w:sz="0" w:space="0" w:color="auto"/>
                            <w:right w:val="none" w:sz="0" w:space="0" w:color="auto"/>
                          </w:divBdr>
                          <w:divsChild>
                            <w:div w:id="1211461510">
                              <w:marLeft w:val="0"/>
                              <w:marRight w:val="0"/>
                              <w:marTop w:val="0"/>
                              <w:marBottom w:val="0"/>
                              <w:divBdr>
                                <w:top w:val="none" w:sz="0" w:space="0" w:color="auto"/>
                                <w:left w:val="none" w:sz="0" w:space="0" w:color="auto"/>
                                <w:bottom w:val="none" w:sz="0" w:space="0" w:color="auto"/>
                                <w:right w:val="none" w:sz="0" w:space="0" w:color="auto"/>
                              </w:divBdr>
                              <w:divsChild>
                                <w:div w:id="388695072">
                                  <w:marLeft w:val="0"/>
                                  <w:marRight w:val="0"/>
                                  <w:marTop w:val="0"/>
                                  <w:marBottom w:val="0"/>
                                  <w:divBdr>
                                    <w:top w:val="none" w:sz="0" w:space="0" w:color="auto"/>
                                    <w:left w:val="none" w:sz="0" w:space="0" w:color="auto"/>
                                    <w:bottom w:val="none" w:sz="0" w:space="0" w:color="auto"/>
                                    <w:right w:val="none" w:sz="0" w:space="0" w:color="auto"/>
                                  </w:divBdr>
                                  <w:divsChild>
                                    <w:div w:id="693656733">
                                      <w:marLeft w:val="0"/>
                                      <w:marRight w:val="0"/>
                                      <w:marTop w:val="0"/>
                                      <w:marBottom w:val="0"/>
                                      <w:divBdr>
                                        <w:top w:val="none" w:sz="0" w:space="0" w:color="auto"/>
                                        <w:left w:val="none" w:sz="0" w:space="0" w:color="auto"/>
                                        <w:bottom w:val="none" w:sz="0" w:space="0" w:color="auto"/>
                                        <w:right w:val="none" w:sz="0" w:space="0" w:color="auto"/>
                                      </w:divBdr>
                                      <w:divsChild>
                                        <w:div w:id="2074113190">
                                          <w:marLeft w:val="0"/>
                                          <w:marRight w:val="0"/>
                                          <w:marTop w:val="0"/>
                                          <w:marBottom w:val="0"/>
                                          <w:divBdr>
                                            <w:top w:val="none" w:sz="0" w:space="0" w:color="auto"/>
                                            <w:left w:val="none" w:sz="0" w:space="0" w:color="auto"/>
                                            <w:bottom w:val="none" w:sz="0" w:space="0" w:color="auto"/>
                                            <w:right w:val="none" w:sz="0" w:space="0" w:color="auto"/>
                                          </w:divBdr>
                                          <w:divsChild>
                                            <w:div w:id="1498110782">
                                              <w:marLeft w:val="0"/>
                                              <w:marRight w:val="0"/>
                                              <w:marTop w:val="0"/>
                                              <w:marBottom w:val="0"/>
                                              <w:divBdr>
                                                <w:top w:val="none" w:sz="0" w:space="0" w:color="auto"/>
                                                <w:left w:val="none" w:sz="0" w:space="0" w:color="auto"/>
                                                <w:bottom w:val="none" w:sz="0" w:space="0" w:color="auto"/>
                                                <w:right w:val="none" w:sz="0" w:space="0" w:color="auto"/>
                                              </w:divBdr>
                                              <w:divsChild>
                                                <w:div w:id="1081028467">
                                                  <w:marLeft w:val="0"/>
                                                  <w:marRight w:val="0"/>
                                                  <w:marTop w:val="0"/>
                                                  <w:marBottom w:val="0"/>
                                                  <w:divBdr>
                                                    <w:top w:val="none" w:sz="0" w:space="0" w:color="auto"/>
                                                    <w:left w:val="none" w:sz="0" w:space="0" w:color="auto"/>
                                                    <w:bottom w:val="none" w:sz="0" w:space="0" w:color="auto"/>
                                                    <w:right w:val="none" w:sz="0" w:space="0" w:color="auto"/>
                                                  </w:divBdr>
                                                  <w:divsChild>
                                                    <w:div w:id="574513938">
                                                      <w:marLeft w:val="0"/>
                                                      <w:marRight w:val="0"/>
                                                      <w:marTop w:val="0"/>
                                                      <w:marBottom w:val="0"/>
                                                      <w:divBdr>
                                                        <w:top w:val="none" w:sz="0" w:space="0" w:color="auto"/>
                                                        <w:left w:val="none" w:sz="0" w:space="0" w:color="auto"/>
                                                        <w:bottom w:val="none" w:sz="0" w:space="0" w:color="auto"/>
                                                        <w:right w:val="none" w:sz="0" w:space="0" w:color="auto"/>
                                                      </w:divBdr>
                                                      <w:divsChild>
                                                        <w:div w:id="5332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node=se2.1.200_1405&amp;rgn=div8" TargetMode="External"/><Relationship Id="rId13" Type="http://schemas.openxmlformats.org/officeDocument/2006/relationships/hyperlink" Target="http://www.ecfr.gov/cgi-bin/text-idx?SID=6ef89c8fd64c0be7bdeb5c75dec79feb&amp;node=se2.1.200_1404&amp;rgn=div8" TargetMode="External"/><Relationship Id="rId3" Type="http://schemas.openxmlformats.org/officeDocument/2006/relationships/settings" Target="settings.xml"/><Relationship Id="rId7" Type="http://schemas.openxmlformats.org/officeDocument/2006/relationships/hyperlink" Target="http://www.ecfr.gov/cgi-bin/text-idx?SID=066144ace7f2dfe1bce9a1d9f37a0fa4&amp;mc=true&amp;node=se2.1.200_1403&amp;rgn=div8" TargetMode="External"/><Relationship Id="rId12" Type="http://schemas.openxmlformats.org/officeDocument/2006/relationships/hyperlink" Target="http://www.ecfr.gov/cgi-bin/text-idx?node=pt2.1.200&amp;rgn=div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fr.gov/cgi-bin/text-idx?SID=ad730ffad9308d0e2ef76a7ec9b66a8e&amp;mc=true&amp;node=se2.1.200_1412&amp;rgn=div8" TargetMode="External"/><Relationship Id="rId11" Type="http://schemas.openxmlformats.org/officeDocument/2006/relationships/hyperlink" Target="http://www.ecfr.gov/cgi-bin/text-idx?node=se2.1.200_1413" TargetMode="External"/><Relationship Id="rId5" Type="http://schemas.openxmlformats.org/officeDocument/2006/relationships/hyperlink" Target="http://www.ecfr.gov/cgi-bin/text-idx?SID=fbb70fe83009e152ac327498f6ec18c4&amp;node=se2.1.200_1403&amp;rgn=div8" TargetMode="External"/><Relationship Id="rId15" Type="http://schemas.openxmlformats.org/officeDocument/2006/relationships/hyperlink" Target="http://www.ecfr.gov/cgi-bin/text-idx?node=se2.1.200_1413" TargetMode="External"/><Relationship Id="rId10" Type="http://schemas.openxmlformats.org/officeDocument/2006/relationships/hyperlink" Target="http://www.ecfr.gov/cgi-bin/text-idx?node=2:1.1.2.2.1" TargetMode="External"/><Relationship Id="rId4" Type="http://schemas.openxmlformats.org/officeDocument/2006/relationships/webSettings" Target="webSettings.xml"/><Relationship Id="rId9" Type="http://schemas.openxmlformats.org/officeDocument/2006/relationships/hyperlink" Target="http://www.ecfr.gov/cgi-bin/text-idx?SID=fbb70fe83009e152ac327498f6ec18c4&amp;node=se2.1.200_1403&amp;rgn=div8" TargetMode="External"/><Relationship Id="rId14" Type="http://schemas.openxmlformats.org/officeDocument/2006/relationships/hyperlink" Target="http://www.ecfr.gov/cgi-bin/text-idx?node=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Brent Utoft</cp:lastModifiedBy>
  <cp:revision>2</cp:revision>
  <dcterms:created xsi:type="dcterms:W3CDTF">2019-06-07T21:15:00Z</dcterms:created>
  <dcterms:modified xsi:type="dcterms:W3CDTF">2019-06-07T21:15:00Z</dcterms:modified>
</cp:coreProperties>
</file>